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3D" w:rsidRPr="00992B31" w:rsidRDefault="00BA301A" w:rsidP="00CD053D">
      <w:pPr>
        <w:spacing w:line="240" w:lineRule="auto"/>
        <w:rPr>
          <w:b/>
          <w:sz w:val="24"/>
          <w:szCs w:val="24"/>
        </w:rPr>
      </w:pPr>
      <w:r>
        <w:rPr>
          <w:b/>
          <w:sz w:val="24"/>
          <w:szCs w:val="24"/>
        </w:rPr>
        <w:t>08.02.2021</w:t>
      </w:r>
      <w:r w:rsidR="00CD053D" w:rsidRPr="00992B31">
        <w:rPr>
          <w:b/>
          <w:sz w:val="24"/>
          <w:szCs w:val="24"/>
        </w:rPr>
        <w:t xml:space="preserve"> r.</w:t>
      </w:r>
    </w:p>
    <w:p w:rsidR="00CD053D" w:rsidRPr="00992B31" w:rsidRDefault="00CD053D" w:rsidP="00CD053D">
      <w:pPr>
        <w:spacing w:line="240" w:lineRule="auto"/>
        <w:jc w:val="both"/>
        <w:rPr>
          <w:b/>
          <w:sz w:val="24"/>
          <w:szCs w:val="24"/>
        </w:rPr>
      </w:pPr>
      <w:r w:rsidRPr="00992B31">
        <w:rPr>
          <w:b/>
          <w:sz w:val="24"/>
          <w:szCs w:val="24"/>
        </w:rPr>
        <w:t xml:space="preserve">klasa – II </w:t>
      </w:r>
      <w:proofErr w:type="spellStart"/>
      <w:r w:rsidRPr="00992B31">
        <w:rPr>
          <w:b/>
          <w:sz w:val="24"/>
          <w:szCs w:val="24"/>
        </w:rPr>
        <w:t>tl</w:t>
      </w:r>
      <w:r w:rsidR="00BA301A">
        <w:rPr>
          <w:b/>
          <w:sz w:val="24"/>
          <w:szCs w:val="24"/>
        </w:rPr>
        <w:t>p</w:t>
      </w:r>
      <w:proofErr w:type="spellEnd"/>
      <w:r w:rsidRPr="00992B31">
        <w:rPr>
          <w:b/>
          <w:sz w:val="24"/>
          <w:szCs w:val="24"/>
        </w:rPr>
        <w:t>, nauczyciel – Arkadiusz Załęski,  przedmiot – gospodarka magazynowa,</w:t>
      </w:r>
      <w:r w:rsidR="00992B31">
        <w:rPr>
          <w:b/>
          <w:sz w:val="24"/>
          <w:szCs w:val="24"/>
        </w:rPr>
        <w:t xml:space="preserve">           </w:t>
      </w:r>
      <w:r w:rsidRPr="00992B31">
        <w:rPr>
          <w:b/>
          <w:sz w:val="24"/>
          <w:szCs w:val="24"/>
        </w:rPr>
        <w:t xml:space="preserve"> temat </w:t>
      </w:r>
      <w:r w:rsidR="00E81DDF">
        <w:rPr>
          <w:b/>
          <w:sz w:val="24"/>
          <w:szCs w:val="24"/>
        </w:rPr>
        <w:t xml:space="preserve">– </w:t>
      </w:r>
      <w:r w:rsidR="00786346" w:rsidRPr="00E81DDF">
        <w:rPr>
          <w:b/>
          <w:i/>
          <w:sz w:val="24"/>
          <w:szCs w:val="24"/>
        </w:rPr>
        <w:t>Ujednolicenie oznakowania opakowań</w:t>
      </w:r>
      <w:r w:rsidR="00786346">
        <w:rPr>
          <w:b/>
          <w:sz w:val="24"/>
          <w:szCs w:val="24"/>
        </w:rPr>
        <w:t xml:space="preserve"> </w:t>
      </w:r>
    </w:p>
    <w:p w:rsidR="00CD053D" w:rsidRPr="00992B31" w:rsidRDefault="00CD053D" w:rsidP="00CD053D">
      <w:pPr>
        <w:rPr>
          <w:b/>
          <w:i/>
          <w:sz w:val="24"/>
          <w:szCs w:val="24"/>
        </w:rPr>
      </w:pPr>
      <w:r w:rsidRPr="00992B31">
        <w:rPr>
          <w:b/>
          <w:i/>
          <w:sz w:val="24"/>
          <w:szCs w:val="24"/>
        </w:rPr>
        <w:t xml:space="preserve">Drodzy uczniowie! </w:t>
      </w:r>
    </w:p>
    <w:p w:rsidR="00524617" w:rsidRDefault="000B25D7" w:rsidP="00A92B10">
      <w:pPr>
        <w:spacing w:after="0"/>
        <w:jc w:val="both"/>
        <w:rPr>
          <w:b/>
          <w:i/>
          <w:sz w:val="24"/>
          <w:szCs w:val="24"/>
        </w:rPr>
      </w:pPr>
      <w:r w:rsidRPr="00992B31">
        <w:rPr>
          <w:b/>
          <w:i/>
          <w:sz w:val="24"/>
          <w:szCs w:val="24"/>
        </w:rPr>
        <w:t xml:space="preserve">Proszę zapoznać się z zamieszczoną poniżej notatką. Proszę przepisać notatkę do zeszytu (ewentualnie wydrukować i wkleić). W razie wątpliwości, niejasności, ewentualnych pytań proszę kontaktować się ze mną za pomocą skrzynki e-mail: </w:t>
      </w:r>
      <w:hyperlink r:id="rId5" w:history="1">
        <w:r w:rsidR="00524617" w:rsidRPr="006E1FC4">
          <w:rPr>
            <w:rStyle w:val="Hipercze"/>
            <w:b/>
            <w:i/>
            <w:sz w:val="24"/>
            <w:szCs w:val="24"/>
          </w:rPr>
          <w:t>minorsam@interia.pl</w:t>
        </w:r>
      </w:hyperlink>
      <w:r w:rsidR="00524617">
        <w:rPr>
          <w:b/>
          <w:i/>
          <w:sz w:val="24"/>
          <w:szCs w:val="24"/>
        </w:rPr>
        <w:t xml:space="preserve"> .</w:t>
      </w:r>
    </w:p>
    <w:p w:rsidR="00A92B10" w:rsidRPr="00A92B10" w:rsidRDefault="00A92B10" w:rsidP="00A92B10">
      <w:pPr>
        <w:spacing w:after="0"/>
        <w:jc w:val="both"/>
        <w:rPr>
          <w:b/>
          <w:i/>
          <w:sz w:val="16"/>
          <w:szCs w:val="16"/>
        </w:rPr>
      </w:pPr>
    </w:p>
    <w:p w:rsidR="00A92B10" w:rsidRPr="00A92B10" w:rsidRDefault="00A92B10" w:rsidP="00A92B10">
      <w:pPr>
        <w:spacing w:after="0"/>
        <w:jc w:val="both"/>
        <w:rPr>
          <w:b/>
          <w:i/>
          <w:sz w:val="2"/>
          <w:szCs w:val="2"/>
        </w:rPr>
      </w:pPr>
    </w:p>
    <w:p w:rsidR="0017309C" w:rsidRPr="00477B59" w:rsidRDefault="000B25D7" w:rsidP="00477B59">
      <w:pPr>
        <w:ind w:firstLine="708"/>
        <w:jc w:val="both"/>
        <w:rPr>
          <w:b/>
          <w:i/>
          <w:sz w:val="24"/>
          <w:szCs w:val="24"/>
        </w:rPr>
      </w:pPr>
      <w:r>
        <w:rPr>
          <w:b/>
          <w:i/>
          <w:sz w:val="24"/>
          <w:szCs w:val="24"/>
        </w:rPr>
        <w:t xml:space="preserve">                                                       </w:t>
      </w:r>
      <w:r w:rsidR="00CD053D">
        <w:rPr>
          <w:b/>
          <w:i/>
          <w:sz w:val="24"/>
          <w:szCs w:val="24"/>
        </w:rPr>
        <w:t>Pozdrawiam i życzę owocnej pracy. Arkadiusz Załęski.</w:t>
      </w:r>
    </w:p>
    <w:p w:rsidR="00786346" w:rsidRPr="00786346" w:rsidRDefault="00786346" w:rsidP="00AD7151">
      <w:pPr>
        <w:autoSpaceDE w:val="0"/>
        <w:autoSpaceDN w:val="0"/>
        <w:adjustRightInd w:val="0"/>
        <w:spacing w:after="0" w:line="240" w:lineRule="auto"/>
        <w:jc w:val="both"/>
        <w:rPr>
          <w:rFonts w:cstheme="minorHAnsi"/>
          <w:color w:val="000000"/>
          <w:sz w:val="24"/>
          <w:szCs w:val="24"/>
        </w:rPr>
      </w:pPr>
      <w:r w:rsidRPr="00786346">
        <w:rPr>
          <w:rFonts w:cstheme="minorHAnsi"/>
          <w:color w:val="000000"/>
          <w:sz w:val="24"/>
          <w:szCs w:val="24"/>
        </w:rPr>
        <w:t xml:space="preserve">Wyroby będące przedmiotem wymiany towarowej powinny mieć </w:t>
      </w:r>
      <w:r w:rsidRPr="00786346">
        <w:rPr>
          <w:rFonts w:eastAsia="ScalaSansPro-Bold" w:cstheme="minorHAnsi"/>
          <w:bCs/>
          <w:sz w:val="24"/>
          <w:szCs w:val="24"/>
        </w:rPr>
        <w:t>opakowania</w:t>
      </w:r>
      <w:r w:rsidRPr="00786346">
        <w:rPr>
          <w:rFonts w:cstheme="minorHAnsi"/>
          <w:color w:val="000000"/>
          <w:sz w:val="24"/>
          <w:szCs w:val="24"/>
        </w:rPr>
        <w:t>. Opakowanie</w:t>
      </w:r>
      <w:r>
        <w:rPr>
          <w:rFonts w:cstheme="minorHAnsi"/>
          <w:color w:val="000000"/>
          <w:sz w:val="24"/>
          <w:szCs w:val="24"/>
        </w:rPr>
        <w:t xml:space="preserve"> </w:t>
      </w:r>
      <w:r w:rsidRPr="00786346">
        <w:rPr>
          <w:rFonts w:cstheme="minorHAnsi"/>
          <w:color w:val="000000"/>
          <w:sz w:val="24"/>
          <w:szCs w:val="24"/>
        </w:rPr>
        <w:t>powinno przekazywać informacje nabywcom i osobom, które mają dostęp do towarów,</w:t>
      </w:r>
      <w:r>
        <w:rPr>
          <w:rFonts w:cstheme="minorHAnsi"/>
          <w:color w:val="000000"/>
          <w:sz w:val="24"/>
          <w:szCs w:val="24"/>
        </w:rPr>
        <w:t xml:space="preserve"> </w:t>
      </w:r>
      <w:r w:rsidRPr="00786346">
        <w:rPr>
          <w:rFonts w:cstheme="minorHAnsi"/>
          <w:color w:val="000000"/>
          <w:sz w:val="24"/>
          <w:szCs w:val="24"/>
        </w:rPr>
        <w:t>poprzez powszechnie rozpoznawalne symbole, opisy i znaki. Ujednoliceniem symboli,</w:t>
      </w:r>
      <w:r>
        <w:rPr>
          <w:rFonts w:cstheme="minorHAnsi"/>
          <w:color w:val="000000"/>
          <w:sz w:val="24"/>
          <w:szCs w:val="24"/>
        </w:rPr>
        <w:t xml:space="preserve"> </w:t>
      </w:r>
      <w:r w:rsidRPr="00786346">
        <w:rPr>
          <w:rFonts w:cstheme="minorHAnsi"/>
          <w:color w:val="000000"/>
          <w:sz w:val="24"/>
          <w:szCs w:val="24"/>
        </w:rPr>
        <w:t>opisów i znaków zajmuje się Międzynarodowa Organizacja Normalizacyjna ISO (International</w:t>
      </w:r>
      <w:r>
        <w:rPr>
          <w:rFonts w:cstheme="minorHAnsi"/>
          <w:color w:val="000000"/>
          <w:sz w:val="24"/>
          <w:szCs w:val="24"/>
        </w:rPr>
        <w:t xml:space="preserve"> </w:t>
      </w:r>
      <w:proofErr w:type="spellStart"/>
      <w:r w:rsidRPr="00786346">
        <w:rPr>
          <w:rFonts w:cstheme="minorHAnsi"/>
          <w:color w:val="000000"/>
          <w:sz w:val="24"/>
          <w:szCs w:val="24"/>
        </w:rPr>
        <w:t>Organization</w:t>
      </w:r>
      <w:proofErr w:type="spellEnd"/>
      <w:r w:rsidRPr="00786346">
        <w:rPr>
          <w:rFonts w:cstheme="minorHAnsi"/>
          <w:color w:val="000000"/>
          <w:sz w:val="24"/>
          <w:szCs w:val="24"/>
        </w:rPr>
        <w:t xml:space="preserve"> for </w:t>
      </w:r>
      <w:proofErr w:type="spellStart"/>
      <w:r w:rsidRPr="00786346">
        <w:rPr>
          <w:rFonts w:cstheme="minorHAnsi"/>
          <w:color w:val="000000"/>
          <w:sz w:val="24"/>
          <w:szCs w:val="24"/>
        </w:rPr>
        <w:t>Standardization</w:t>
      </w:r>
      <w:proofErr w:type="spellEnd"/>
      <w:r w:rsidRPr="00786346">
        <w:rPr>
          <w:rFonts w:cstheme="minorHAnsi"/>
          <w:color w:val="000000"/>
          <w:sz w:val="24"/>
          <w:szCs w:val="24"/>
        </w:rPr>
        <w:t>).</w:t>
      </w:r>
    </w:p>
    <w:p w:rsidR="00786346" w:rsidRPr="00786346" w:rsidRDefault="00786346" w:rsidP="00AD7151">
      <w:pPr>
        <w:autoSpaceDE w:val="0"/>
        <w:autoSpaceDN w:val="0"/>
        <w:adjustRightInd w:val="0"/>
        <w:spacing w:after="0" w:line="240" w:lineRule="auto"/>
        <w:jc w:val="both"/>
        <w:rPr>
          <w:rFonts w:cstheme="minorHAnsi"/>
          <w:color w:val="000000"/>
          <w:sz w:val="24"/>
          <w:szCs w:val="24"/>
        </w:rPr>
      </w:pPr>
      <w:r w:rsidRPr="00786346">
        <w:rPr>
          <w:rFonts w:cstheme="minorHAnsi"/>
          <w:color w:val="000000"/>
          <w:sz w:val="24"/>
          <w:szCs w:val="24"/>
        </w:rPr>
        <w:t>Decyzja o ujednoliceniu symboli umieszczanych na produktach była spowodowana</w:t>
      </w:r>
      <w:r>
        <w:rPr>
          <w:rFonts w:cstheme="minorHAnsi"/>
          <w:color w:val="000000"/>
          <w:sz w:val="24"/>
          <w:szCs w:val="24"/>
        </w:rPr>
        <w:t xml:space="preserve"> </w:t>
      </w:r>
      <w:r w:rsidRPr="00786346">
        <w:rPr>
          <w:rFonts w:cstheme="minorHAnsi"/>
          <w:color w:val="000000"/>
          <w:sz w:val="24"/>
          <w:szCs w:val="24"/>
        </w:rPr>
        <w:t>pomyłkami osób, które zajmują się zapewnieniem transportu towaru, lub konsumentów</w:t>
      </w:r>
      <w:r>
        <w:rPr>
          <w:rFonts w:cstheme="minorHAnsi"/>
          <w:color w:val="000000"/>
          <w:sz w:val="24"/>
          <w:szCs w:val="24"/>
        </w:rPr>
        <w:t xml:space="preserve">                </w:t>
      </w:r>
      <w:r w:rsidRPr="00786346">
        <w:rPr>
          <w:rFonts w:cstheme="minorHAnsi"/>
          <w:color w:val="000000"/>
          <w:sz w:val="24"/>
          <w:szCs w:val="24"/>
        </w:rPr>
        <w:t>w sposobie użytkowania danego towaru. Obrazkowe informacje na opakowaniach (piktogramy)</w:t>
      </w:r>
      <w:r>
        <w:rPr>
          <w:rFonts w:cstheme="minorHAnsi"/>
          <w:color w:val="000000"/>
          <w:sz w:val="24"/>
          <w:szCs w:val="24"/>
        </w:rPr>
        <w:t xml:space="preserve"> </w:t>
      </w:r>
      <w:r w:rsidRPr="00786346">
        <w:rPr>
          <w:rFonts w:cstheme="minorHAnsi"/>
          <w:color w:val="000000"/>
          <w:sz w:val="24"/>
          <w:szCs w:val="24"/>
        </w:rPr>
        <w:t>uwzględniają aspekt reklamowy, użytkowy i technologiczny. Niedostateczna informacja</w:t>
      </w:r>
      <w:r>
        <w:rPr>
          <w:rFonts w:cstheme="minorHAnsi"/>
          <w:color w:val="000000"/>
          <w:sz w:val="24"/>
          <w:szCs w:val="24"/>
        </w:rPr>
        <w:t xml:space="preserve"> </w:t>
      </w:r>
      <w:r w:rsidRPr="00786346">
        <w:rPr>
          <w:rFonts w:cstheme="minorHAnsi"/>
          <w:color w:val="000000"/>
          <w:sz w:val="24"/>
          <w:szCs w:val="24"/>
        </w:rPr>
        <w:t>piktograficzna lub niewyraźne oznakowanie mogą spowodować:</w:t>
      </w:r>
    </w:p>
    <w:p w:rsidR="00786346" w:rsidRDefault="00786346" w:rsidP="00AD7151">
      <w:pPr>
        <w:pStyle w:val="Akapitzlist"/>
        <w:numPr>
          <w:ilvl w:val="0"/>
          <w:numId w:val="27"/>
        </w:numPr>
        <w:autoSpaceDE w:val="0"/>
        <w:autoSpaceDN w:val="0"/>
        <w:adjustRightInd w:val="0"/>
        <w:spacing w:after="0" w:line="240" w:lineRule="auto"/>
        <w:jc w:val="both"/>
        <w:rPr>
          <w:rFonts w:cstheme="minorHAnsi"/>
          <w:color w:val="000000"/>
          <w:sz w:val="24"/>
          <w:szCs w:val="24"/>
        </w:rPr>
      </w:pPr>
      <w:r w:rsidRPr="00786346">
        <w:rPr>
          <w:rFonts w:cstheme="minorHAnsi"/>
          <w:color w:val="000000"/>
          <w:sz w:val="24"/>
          <w:szCs w:val="24"/>
        </w:rPr>
        <w:t>ułożenie ładunku na statku lub w składzie portowym w nieodpowiednim miejscu,</w:t>
      </w:r>
    </w:p>
    <w:p w:rsidR="00786346" w:rsidRDefault="00786346" w:rsidP="00AD7151">
      <w:pPr>
        <w:pStyle w:val="Akapitzlist"/>
        <w:numPr>
          <w:ilvl w:val="0"/>
          <w:numId w:val="27"/>
        </w:numPr>
        <w:autoSpaceDE w:val="0"/>
        <w:autoSpaceDN w:val="0"/>
        <w:adjustRightInd w:val="0"/>
        <w:spacing w:after="0" w:line="240" w:lineRule="auto"/>
        <w:jc w:val="both"/>
        <w:rPr>
          <w:rFonts w:cstheme="minorHAnsi"/>
          <w:color w:val="000000"/>
          <w:sz w:val="24"/>
          <w:szCs w:val="24"/>
        </w:rPr>
      </w:pPr>
      <w:r w:rsidRPr="00786346">
        <w:rPr>
          <w:rFonts w:cstheme="minorHAnsi"/>
          <w:color w:val="000000"/>
          <w:sz w:val="24"/>
          <w:szCs w:val="24"/>
        </w:rPr>
        <w:t>ułożenie ładunku w nieodpowiedni sposób, np. odwrotnie niż w zaleceniach producenta,</w:t>
      </w:r>
    </w:p>
    <w:p w:rsidR="00786346" w:rsidRDefault="00786346" w:rsidP="00AD7151">
      <w:pPr>
        <w:pStyle w:val="Akapitzlist"/>
        <w:numPr>
          <w:ilvl w:val="0"/>
          <w:numId w:val="27"/>
        </w:numPr>
        <w:autoSpaceDE w:val="0"/>
        <w:autoSpaceDN w:val="0"/>
        <w:adjustRightInd w:val="0"/>
        <w:spacing w:after="0" w:line="240" w:lineRule="auto"/>
        <w:jc w:val="both"/>
        <w:rPr>
          <w:rFonts w:cstheme="minorHAnsi"/>
          <w:color w:val="000000"/>
          <w:sz w:val="24"/>
          <w:szCs w:val="24"/>
        </w:rPr>
      </w:pPr>
      <w:r w:rsidRPr="00786346">
        <w:rPr>
          <w:rFonts w:cstheme="minorHAnsi"/>
          <w:color w:val="000000"/>
          <w:sz w:val="24"/>
          <w:szCs w:val="24"/>
        </w:rPr>
        <w:t>ułożenie razem z towarem, z którym dany ładunek nie może być składowany,</w:t>
      </w:r>
    </w:p>
    <w:p w:rsidR="00786346" w:rsidRDefault="00786346" w:rsidP="00AD7151">
      <w:pPr>
        <w:pStyle w:val="Akapitzlist"/>
        <w:numPr>
          <w:ilvl w:val="0"/>
          <w:numId w:val="27"/>
        </w:numPr>
        <w:autoSpaceDE w:val="0"/>
        <w:autoSpaceDN w:val="0"/>
        <w:adjustRightInd w:val="0"/>
        <w:spacing w:after="0" w:line="240" w:lineRule="auto"/>
        <w:jc w:val="both"/>
        <w:rPr>
          <w:rFonts w:cstheme="minorHAnsi"/>
          <w:color w:val="000000"/>
          <w:sz w:val="24"/>
          <w:szCs w:val="24"/>
        </w:rPr>
      </w:pPr>
      <w:r w:rsidRPr="00786346">
        <w:rPr>
          <w:rFonts w:cstheme="minorHAnsi"/>
          <w:color w:val="000000"/>
          <w:sz w:val="24"/>
          <w:szCs w:val="24"/>
        </w:rPr>
        <w:t>wyładowanie w niewłaściwym porcie,</w:t>
      </w:r>
    </w:p>
    <w:p w:rsidR="00786346" w:rsidRPr="00AD7151" w:rsidRDefault="00786346" w:rsidP="00AD7151">
      <w:pPr>
        <w:pStyle w:val="Akapitzlist"/>
        <w:numPr>
          <w:ilvl w:val="0"/>
          <w:numId w:val="27"/>
        </w:numPr>
        <w:autoSpaceDE w:val="0"/>
        <w:autoSpaceDN w:val="0"/>
        <w:adjustRightInd w:val="0"/>
        <w:spacing w:after="0" w:line="240" w:lineRule="auto"/>
        <w:jc w:val="both"/>
        <w:rPr>
          <w:rFonts w:cstheme="minorHAnsi"/>
          <w:color w:val="000000"/>
          <w:sz w:val="24"/>
          <w:szCs w:val="24"/>
        </w:rPr>
      </w:pPr>
      <w:r w:rsidRPr="00AD7151">
        <w:rPr>
          <w:rFonts w:cstheme="minorHAnsi"/>
          <w:color w:val="000000"/>
          <w:sz w:val="24"/>
          <w:szCs w:val="24"/>
        </w:rPr>
        <w:t>wydanie niezgodnie z ustaleniami sprzedający</w:t>
      </w:r>
      <w:r w:rsidR="00AD7151">
        <w:rPr>
          <w:rFonts w:cstheme="minorHAnsi"/>
          <w:color w:val="000000"/>
          <w:sz w:val="24"/>
          <w:szCs w:val="24"/>
        </w:rPr>
        <w:t xml:space="preserve"> </w:t>
      </w:r>
      <w:r w:rsidRPr="00AD7151">
        <w:rPr>
          <w:rFonts w:cstheme="minorHAnsi"/>
          <w:color w:val="000000"/>
          <w:sz w:val="24"/>
          <w:szCs w:val="24"/>
        </w:rPr>
        <w:t>–</w:t>
      </w:r>
      <w:r w:rsidR="00AD7151">
        <w:rPr>
          <w:rFonts w:cstheme="minorHAnsi"/>
          <w:color w:val="000000"/>
          <w:sz w:val="24"/>
          <w:szCs w:val="24"/>
        </w:rPr>
        <w:t xml:space="preserve"> kupujący na podstawie formuł </w:t>
      </w:r>
      <w:r w:rsidRPr="00AD7151">
        <w:rPr>
          <w:rFonts w:cstheme="minorHAnsi"/>
          <w:color w:val="000000"/>
          <w:sz w:val="24"/>
          <w:szCs w:val="24"/>
        </w:rPr>
        <w:t>INCOTERMS (</w:t>
      </w:r>
      <w:r w:rsidR="00AD7151" w:rsidRPr="00AD7151">
        <w:rPr>
          <w:rFonts w:cstheme="minorHAnsi"/>
          <w:i/>
          <w:sz w:val="24"/>
          <w:szCs w:val="24"/>
        </w:rPr>
        <w:t xml:space="preserve">International Commercial </w:t>
      </w:r>
      <w:proofErr w:type="spellStart"/>
      <w:r w:rsidR="00AD7151" w:rsidRPr="00AD7151">
        <w:rPr>
          <w:rFonts w:cstheme="minorHAnsi"/>
          <w:i/>
          <w:sz w:val="24"/>
          <w:szCs w:val="24"/>
        </w:rPr>
        <w:t>Terms</w:t>
      </w:r>
      <w:proofErr w:type="spellEnd"/>
      <w:r w:rsidRPr="00AD7151">
        <w:rPr>
          <w:rFonts w:cstheme="minorHAnsi"/>
          <w:sz w:val="24"/>
          <w:szCs w:val="24"/>
        </w:rPr>
        <w:t xml:space="preserve"> lub </w:t>
      </w:r>
      <w:r w:rsidRPr="00AD7151">
        <w:rPr>
          <w:rFonts w:cstheme="minorHAnsi"/>
          <w:i/>
          <w:sz w:val="24"/>
          <w:szCs w:val="24"/>
        </w:rPr>
        <w:t>Międzynarodowe Reguły Handlu</w:t>
      </w:r>
      <w:r w:rsidR="00A92B10">
        <w:rPr>
          <w:rFonts w:cstheme="minorHAnsi"/>
          <w:sz w:val="24"/>
          <w:szCs w:val="24"/>
        </w:rPr>
        <w:t xml:space="preserve"> – zbiór międzynarodowych reguł</w:t>
      </w:r>
      <w:r w:rsidRPr="00AD7151">
        <w:rPr>
          <w:rFonts w:cstheme="minorHAnsi"/>
          <w:sz w:val="24"/>
          <w:szCs w:val="24"/>
        </w:rPr>
        <w:t xml:space="preserve"> określających warunki</w:t>
      </w:r>
      <w:r w:rsidR="00AD7151">
        <w:rPr>
          <w:rFonts w:cstheme="minorHAnsi"/>
          <w:sz w:val="24"/>
          <w:szCs w:val="24"/>
        </w:rPr>
        <w:t xml:space="preserve"> </w:t>
      </w:r>
      <w:r w:rsidRPr="00AD7151">
        <w:rPr>
          <w:rFonts w:cstheme="minorHAnsi"/>
          <w:sz w:val="24"/>
          <w:szCs w:val="24"/>
        </w:rPr>
        <w:t>sprzedaży, których stosowanie jest szeroko przyjęte na świecie. Reguły te dzielą koszty i odpowiedzialność pomiędzy nabywcę</w:t>
      </w:r>
      <w:r w:rsidR="00AD7151">
        <w:rPr>
          <w:rFonts w:cstheme="minorHAnsi"/>
          <w:sz w:val="24"/>
          <w:szCs w:val="24"/>
        </w:rPr>
        <w:t xml:space="preserve"> </w:t>
      </w:r>
      <w:r w:rsidRPr="00AD7151">
        <w:rPr>
          <w:rFonts w:cstheme="minorHAnsi"/>
          <w:sz w:val="24"/>
          <w:szCs w:val="24"/>
        </w:rPr>
        <w:t>a sprzedawcę oraz odzwierciedlają rodzaj uzgodnionego transportu</w:t>
      </w:r>
      <w:r w:rsidR="00AD7151">
        <w:rPr>
          <w:rFonts w:cstheme="minorHAnsi"/>
          <w:sz w:val="24"/>
          <w:szCs w:val="24"/>
        </w:rPr>
        <w:t>.)</w:t>
      </w:r>
      <w:r w:rsidR="00A92B10">
        <w:rPr>
          <w:rFonts w:cstheme="minorHAnsi"/>
          <w:sz w:val="24"/>
          <w:szCs w:val="24"/>
        </w:rPr>
        <w:t>,</w:t>
      </w:r>
    </w:p>
    <w:p w:rsidR="00786346" w:rsidRPr="00AD7151" w:rsidRDefault="00786346" w:rsidP="00AD7151">
      <w:pPr>
        <w:pStyle w:val="Akapitzlist"/>
        <w:numPr>
          <w:ilvl w:val="0"/>
          <w:numId w:val="27"/>
        </w:numPr>
        <w:autoSpaceDE w:val="0"/>
        <w:autoSpaceDN w:val="0"/>
        <w:adjustRightInd w:val="0"/>
        <w:spacing w:after="0" w:line="240" w:lineRule="auto"/>
        <w:jc w:val="both"/>
        <w:rPr>
          <w:rFonts w:cstheme="minorHAnsi"/>
          <w:color w:val="000000"/>
          <w:sz w:val="24"/>
          <w:szCs w:val="24"/>
        </w:rPr>
      </w:pPr>
      <w:r w:rsidRPr="00AD7151">
        <w:rPr>
          <w:rFonts w:cstheme="minorHAnsi"/>
          <w:color w:val="000000"/>
          <w:sz w:val="24"/>
          <w:szCs w:val="24"/>
        </w:rPr>
        <w:t>wydanie towaru niewłaściwemu odbiorcy.</w:t>
      </w:r>
    </w:p>
    <w:p w:rsidR="00A92B10" w:rsidRDefault="00786346" w:rsidP="00AD7151">
      <w:pPr>
        <w:autoSpaceDE w:val="0"/>
        <w:autoSpaceDN w:val="0"/>
        <w:adjustRightInd w:val="0"/>
        <w:spacing w:after="0" w:line="240" w:lineRule="auto"/>
        <w:jc w:val="both"/>
        <w:rPr>
          <w:rFonts w:cstheme="minorHAnsi"/>
          <w:color w:val="000000"/>
          <w:sz w:val="24"/>
          <w:szCs w:val="24"/>
        </w:rPr>
      </w:pPr>
      <w:r w:rsidRPr="00786346">
        <w:rPr>
          <w:rFonts w:cstheme="minorHAnsi"/>
          <w:color w:val="000000"/>
          <w:sz w:val="24"/>
          <w:szCs w:val="24"/>
        </w:rPr>
        <w:t>W Polsce towary dopuszczone do obrotu muszą mieć oznakowanie opakowań jednostkowych</w:t>
      </w:r>
      <w:r w:rsidR="00AD7151">
        <w:rPr>
          <w:rFonts w:cstheme="minorHAnsi"/>
          <w:color w:val="000000"/>
          <w:sz w:val="24"/>
          <w:szCs w:val="24"/>
        </w:rPr>
        <w:t xml:space="preserve"> </w:t>
      </w:r>
      <w:r w:rsidRPr="00786346">
        <w:rPr>
          <w:rFonts w:cstheme="minorHAnsi"/>
          <w:color w:val="000000"/>
          <w:sz w:val="24"/>
          <w:szCs w:val="24"/>
        </w:rPr>
        <w:t>i transportowych zgodne z obowiązującą normą: PN-EN ISO 720:2001P. Według</w:t>
      </w:r>
      <w:r w:rsidR="00AD7151">
        <w:rPr>
          <w:rFonts w:cstheme="minorHAnsi"/>
          <w:color w:val="000000"/>
          <w:sz w:val="24"/>
          <w:szCs w:val="24"/>
        </w:rPr>
        <w:t xml:space="preserve"> </w:t>
      </w:r>
      <w:r w:rsidR="00A92B10">
        <w:rPr>
          <w:rFonts w:cstheme="minorHAnsi"/>
          <w:color w:val="000000"/>
          <w:sz w:val="24"/>
          <w:szCs w:val="24"/>
        </w:rPr>
        <w:t>normy wyróżniamy następujące</w:t>
      </w:r>
      <w:r w:rsidR="00A92B10" w:rsidRPr="00A92B10">
        <w:rPr>
          <w:rFonts w:eastAsia="ScalaSansPro-Bold" w:cstheme="minorHAnsi"/>
          <w:b/>
          <w:bCs/>
          <w:color w:val="009283"/>
          <w:sz w:val="24"/>
          <w:szCs w:val="24"/>
        </w:rPr>
        <w:t xml:space="preserve"> </w:t>
      </w:r>
      <w:r w:rsidR="00A92B10" w:rsidRPr="00524617">
        <w:rPr>
          <w:rFonts w:eastAsia="ScalaSansPro-Bold" w:cstheme="minorHAnsi"/>
          <w:b/>
          <w:bCs/>
          <w:color w:val="00B050"/>
          <w:sz w:val="24"/>
          <w:szCs w:val="24"/>
        </w:rPr>
        <w:t>rodzaje znaków</w:t>
      </w:r>
      <w:r w:rsidRPr="00524617">
        <w:rPr>
          <w:rFonts w:cstheme="minorHAnsi"/>
          <w:color w:val="00B050"/>
          <w:sz w:val="24"/>
          <w:szCs w:val="24"/>
        </w:rPr>
        <w:t>:</w:t>
      </w:r>
      <w:r w:rsidRPr="00786346">
        <w:rPr>
          <w:rFonts w:cstheme="minorHAnsi"/>
          <w:color w:val="000000"/>
          <w:sz w:val="24"/>
          <w:szCs w:val="24"/>
        </w:rPr>
        <w:t xml:space="preserve"> </w:t>
      </w:r>
    </w:p>
    <w:p w:rsidR="00A92B10" w:rsidRPr="00E81DDF" w:rsidRDefault="00A92B10" w:rsidP="00A92B10">
      <w:pPr>
        <w:pStyle w:val="Akapitzlist"/>
        <w:numPr>
          <w:ilvl w:val="0"/>
          <w:numId w:val="29"/>
        </w:numPr>
        <w:autoSpaceDE w:val="0"/>
        <w:autoSpaceDN w:val="0"/>
        <w:adjustRightInd w:val="0"/>
        <w:spacing w:after="0" w:line="240" w:lineRule="auto"/>
        <w:jc w:val="both"/>
        <w:rPr>
          <w:rFonts w:cstheme="minorHAnsi"/>
          <w:color w:val="00B050"/>
          <w:sz w:val="24"/>
          <w:szCs w:val="24"/>
        </w:rPr>
      </w:pPr>
      <w:r w:rsidRPr="00E81DDF">
        <w:rPr>
          <w:rFonts w:eastAsia="ScalaSansPro-Bold" w:cstheme="minorHAnsi"/>
          <w:bCs/>
          <w:color w:val="00B050"/>
          <w:sz w:val="24"/>
          <w:szCs w:val="24"/>
        </w:rPr>
        <w:t>znaki zasadnicze</w:t>
      </w:r>
      <w:r w:rsidRPr="00E81DDF">
        <w:rPr>
          <w:rFonts w:cstheme="minorHAnsi"/>
          <w:color w:val="00B050"/>
          <w:sz w:val="24"/>
          <w:szCs w:val="24"/>
        </w:rPr>
        <w:t>,</w:t>
      </w:r>
    </w:p>
    <w:p w:rsidR="00A92B10" w:rsidRPr="00E81DDF" w:rsidRDefault="00A92B10" w:rsidP="00A92B10">
      <w:pPr>
        <w:pStyle w:val="Akapitzlist"/>
        <w:numPr>
          <w:ilvl w:val="0"/>
          <w:numId w:val="29"/>
        </w:numPr>
        <w:autoSpaceDE w:val="0"/>
        <w:autoSpaceDN w:val="0"/>
        <w:adjustRightInd w:val="0"/>
        <w:spacing w:after="0" w:line="240" w:lineRule="auto"/>
        <w:jc w:val="both"/>
        <w:rPr>
          <w:rFonts w:cstheme="minorHAnsi"/>
          <w:color w:val="00B050"/>
          <w:sz w:val="24"/>
          <w:szCs w:val="24"/>
        </w:rPr>
      </w:pPr>
      <w:r w:rsidRPr="00E81DDF">
        <w:rPr>
          <w:rFonts w:eastAsia="ScalaSansPro-Bold" w:cstheme="minorHAnsi"/>
          <w:bCs/>
          <w:color w:val="00B050"/>
          <w:sz w:val="24"/>
          <w:szCs w:val="24"/>
        </w:rPr>
        <w:t>znaki informacyjne</w:t>
      </w:r>
      <w:r w:rsidRPr="00E81DDF">
        <w:rPr>
          <w:rFonts w:cstheme="minorHAnsi"/>
          <w:color w:val="00B050"/>
          <w:sz w:val="24"/>
          <w:szCs w:val="24"/>
        </w:rPr>
        <w:t>,</w:t>
      </w:r>
    </w:p>
    <w:p w:rsidR="00A92B10" w:rsidRPr="00E81DDF" w:rsidRDefault="00A92B10" w:rsidP="00A92B10">
      <w:pPr>
        <w:pStyle w:val="Akapitzlist"/>
        <w:numPr>
          <w:ilvl w:val="0"/>
          <w:numId w:val="29"/>
        </w:numPr>
        <w:autoSpaceDE w:val="0"/>
        <w:autoSpaceDN w:val="0"/>
        <w:adjustRightInd w:val="0"/>
        <w:spacing w:after="0" w:line="240" w:lineRule="auto"/>
        <w:jc w:val="both"/>
        <w:rPr>
          <w:rFonts w:cstheme="minorHAnsi"/>
          <w:color w:val="00B050"/>
          <w:sz w:val="24"/>
          <w:szCs w:val="24"/>
        </w:rPr>
      </w:pPr>
      <w:r w:rsidRPr="00E81DDF">
        <w:rPr>
          <w:rFonts w:eastAsia="ScalaSansPro-Bold" w:cstheme="minorHAnsi"/>
          <w:bCs/>
          <w:color w:val="00B050"/>
          <w:sz w:val="24"/>
          <w:szCs w:val="24"/>
        </w:rPr>
        <w:t>znaki niebezpieczeństwa</w:t>
      </w:r>
      <w:r w:rsidRPr="00E81DDF">
        <w:rPr>
          <w:rFonts w:cstheme="minorHAnsi"/>
          <w:color w:val="00B050"/>
          <w:sz w:val="24"/>
          <w:szCs w:val="24"/>
        </w:rPr>
        <w:t>,</w:t>
      </w:r>
    </w:p>
    <w:p w:rsidR="00A92B10" w:rsidRPr="00E81DDF" w:rsidRDefault="00A92B10" w:rsidP="00A92B10">
      <w:pPr>
        <w:pStyle w:val="Akapitzlist"/>
        <w:numPr>
          <w:ilvl w:val="0"/>
          <w:numId w:val="29"/>
        </w:numPr>
        <w:spacing w:line="240" w:lineRule="auto"/>
        <w:jc w:val="both"/>
        <w:rPr>
          <w:rFonts w:cstheme="minorHAnsi"/>
          <w:color w:val="00B050"/>
          <w:sz w:val="24"/>
          <w:szCs w:val="24"/>
        </w:rPr>
      </w:pPr>
      <w:r w:rsidRPr="00E81DDF">
        <w:rPr>
          <w:rFonts w:eastAsia="ScalaSansPro-Bold" w:cstheme="minorHAnsi"/>
          <w:bCs/>
          <w:color w:val="00B050"/>
          <w:sz w:val="24"/>
          <w:szCs w:val="24"/>
        </w:rPr>
        <w:t>znaki manipulacyjne</w:t>
      </w:r>
      <w:r w:rsidRPr="00E81DDF">
        <w:rPr>
          <w:rFonts w:cstheme="minorHAnsi"/>
          <w:color w:val="00B050"/>
          <w:sz w:val="24"/>
          <w:szCs w:val="24"/>
        </w:rPr>
        <w:t>.</w:t>
      </w:r>
    </w:p>
    <w:p w:rsidR="003F6604" w:rsidRPr="00A92B10" w:rsidRDefault="00786346" w:rsidP="00A92B10">
      <w:pPr>
        <w:spacing w:line="240" w:lineRule="auto"/>
        <w:jc w:val="both"/>
        <w:rPr>
          <w:rFonts w:cstheme="minorHAnsi"/>
          <w:sz w:val="24"/>
          <w:szCs w:val="24"/>
        </w:rPr>
      </w:pPr>
      <w:r w:rsidRPr="00A92B10">
        <w:rPr>
          <w:rFonts w:cstheme="minorHAnsi"/>
          <w:color w:val="000000"/>
          <w:sz w:val="24"/>
          <w:szCs w:val="24"/>
        </w:rPr>
        <w:t>Opakowania jednostkowe mogą być wzbogacone znakami reklamowymi, zachęcającymi</w:t>
      </w:r>
      <w:r w:rsidR="00AD7151" w:rsidRPr="00A92B10">
        <w:rPr>
          <w:rFonts w:cstheme="minorHAnsi"/>
          <w:color w:val="000000"/>
          <w:sz w:val="24"/>
          <w:szCs w:val="24"/>
        </w:rPr>
        <w:t xml:space="preserve"> </w:t>
      </w:r>
      <w:r w:rsidR="00A92B10" w:rsidRPr="00A92B10">
        <w:rPr>
          <w:rFonts w:cstheme="minorHAnsi"/>
          <w:color w:val="000000"/>
          <w:sz w:val="24"/>
          <w:szCs w:val="24"/>
        </w:rPr>
        <w:t xml:space="preserve">              </w:t>
      </w:r>
      <w:r w:rsidR="00AD7151" w:rsidRPr="00A92B10">
        <w:rPr>
          <w:rFonts w:cstheme="minorHAnsi"/>
          <w:color w:val="000000"/>
          <w:sz w:val="24"/>
          <w:szCs w:val="24"/>
        </w:rPr>
        <w:t>d</w:t>
      </w:r>
      <w:r w:rsidRPr="00A92B10">
        <w:rPr>
          <w:rFonts w:cstheme="minorHAnsi"/>
          <w:color w:val="000000"/>
          <w:sz w:val="24"/>
          <w:szCs w:val="24"/>
        </w:rPr>
        <w:t>o kupna danego wyrobu.</w:t>
      </w:r>
      <w:r w:rsidR="00A92B10" w:rsidRPr="00A92B10">
        <w:rPr>
          <w:rFonts w:cstheme="minorHAnsi"/>
          <w:sz w:val="24"/>
          <w:szCs w:val="24"/>
        </w:rPr>
        <w:t xml:space="preserve"> Na opakowaniach jednostkowych są umieszczane następujące opisy i znaki: nazwa towaru, znak firmowy podający pełną lub skróconą nazwę zakładu wytwórcy lub zakładu pakującego oraz określenie zastosowania towaru. Często towary, które producent wytwarza nie pod własną marką, oznacza się „Wyprodukowano dla….”. Z takimi oznaczeniami można spotkać się w sieciach handlowych, które posiadają własną markę.</w:t>
      </w:r>
    </w:p>
    <w:sectPr w:rsidR="003F6604" w:rsidRPr="00A92B10" w:rsidSect="00CE69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calaPro">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alaSansPro-Bold">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34C"/>
    <w:multiLevelType w:val="hybridMultilevel"/>
    <w:tmpl w:val="B9AC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37E8D"/>
    <w:multiLevelType w:val="hybridMultilevel"/>
    <w:tmpl w:val="6DD88786"/>
    <w:lvl w:ilvl="0" w:tplc="7EAC1F40">
      <w:start w:val="1"/>
      <w:numFmt w:val="lowerLetter"/>
      <w:lvlText w:val="%1)"/>
      <w:lvlJc w:val="left"/>
      <w:pPr>
        <w:ind w:left="1080" w:hanging="360"/>
      </w:pPr>
      <w:rPr>
        <w:rFonts w:ascii="ScalaPro" w:eastAsiaTheme="minorHAnsi" w:hAnsi="ScalaPro" w:cs="ScalaPr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9771F0"/>
    <w:multiLevelType w:val="multilevel"/>
    <w:tmpl w:val="0D468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20DE0"/>
    <w:multiLevelType w:val="hybridMultilevel"/>
    <w:tmpl w:val="7A16F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6AFD"/>
    <w:multiLevelType w:val="multilevel"/>
    <w:tmpl w:val="7726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0608C"/>
    <w:multiLevelType w:val="hybridMultilevel"/>
    <w:tmpl w:val="8BC22B46"/>
    <w:lvl w:ilvl="0" w:tplc="E6E0D8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F7E1161"/>
    <w:multiLevelType w:val="hybridMultilevel"/>
    <w:tmpl w:val="D400B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654052"/>
    <w:multiLevelType w:val="hybridMultilevel"/>
    <w:tmpl w:val="D584E990"/>
    <w:lvl w:ilvl="0" w:tplc="14A69796">
      <w:start w:val="1"/>
      <w:numFmt w:val="lowerLetter"/>
      <w:lvlText w:val="%1)"/>
      <w:lvlJc w:val="left"/>
      <w:pPr>
        <w:ind w:left="1080" w:hanging="360"/>
      </w:pPr>
      <w:rPr>
        <w:rFonts w:ascii="ScalaPro" w:hAnsi="ScalaPro" w:cs="ScalaPro"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0CF5BE0"/>
    <w:multiLevelType w:val="multilevel"/>
    <w:tmpl w:val="FEE8D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336C8"/>
    <w:multiLevelType w:val="hybridMultilevel"/>
    <w:tmpl w:val="828230BA"/>
    <w:lvl w:ilvl="0" w:tplc="F3F0B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3D133CA"/>
    <w:multiLevelType w:val="hybridMultilevel"/>
    <w:tmpl w:val="34783B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39596A"/>
    <w:multiLevelType w:val="hybridMultilevel"/>
    <w:tmpl w:val="8BC22B46"/>
    <w:lvl w:ilvl="0" w:tplc="E6E0D8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5CF1EA2"/>
    <w:multiLevelType w:val="hybridMultilevel"/>
    <w:tmpl w:val="E4F8A0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A215D9"/>
    <w:multiLevelType w:val="hybridMultilevel"/>
    <w:tmpl w:val="D400B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7E0EA4"/>
    <w:multiLevelType w:val="hybridMultilevel"/>
    <w:tmpl w:val="1A8484A0"/>
    <w:lvl w:ilvl="0" w:tplc="DE2CBD20">
      <w:numFmt w:val="bullet"/>
      <w:lvlText w:val="•"/>
      <w:lvlJc w:val="left"/>
      <w:pPr>
        <w:ind w:left="720" w:hanging="360"/>
      </w:pPr>
      <w:rPr>
        <w:rFonts w:ascii="Calibri" w:eastAsiaTheme="minorHAnsi" w:hAnsi="Calibri" w:cs="Calibri" w:hint="default"/>
        <w:color w:val="00928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481856"/>
    <w:multiLevelType w:val="hybridMultilevel"/>
    <w:tmpl w:val="3BD01CB2"/>
    <w:lvl w:ilvl="0" w:tplc="AEF80D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1084084"/>
    <w:multiLevelType w:val="hybridMultilevel"/>
    <w:tmpl w:val="74ECF0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6C7ADC"/>
    <w:multiLevelType w:val="hybridMultilevel"/>
    <w:tmpl w:val="37E26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C679F8"/>
    <w:multiLevelType w:val="hybridMultilevel"/>
    <w:tmpl w:val="CC6AAF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FA67961"/>
    <w:multiLevelType w:val="multilevel"/>
    <w:tmpl w:val="D9728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546257"/>
    <w:multiLevelType w:val="hybridMultilevel"/>
    <w:tmpl w:val="C6589026"/>
    <w:lvl w:ilvl="0" w:tplc="9CF4CDB4">
      <w:start w:val="1"/>
      <w:numFmt w:val="lowerLetter"/>
      <w:lvlText w:val="%1)"/>
      <w:lvlJc w:val="left"/>
      <w:pPr>
        <w:ind w:left="1068" w:hanging="360"/>
      </w:pPr>
      <w:rPr>
        <w:rFonts w:ascii="ScalaPro" w:eastAsiaTheme="minorHAnsi" w:hAnsi="ScalaPro" w:cs="ScalaPr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85105F1"/>
    <w:multiLevelType w:val="hybridMultilevel"/>
    <w:tmpl w:val="2B34C1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0262B85"/>
    <w:multiLevelType w:val="multilevel"/>
    <w:tmpl w:val="EBB4E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652AB5"/>
    <w:multiLevelType w:val="multilevel"/>
    <w:tmpl w:val="177417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51100C"/>
    <w:multiLevelType w:val="hybridMultilevel"/>
    <w:tmpl w:val="001440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4B47A0D"/>
    <w:multiLevelType w:val="hybridMultilevel"/>
    <w:tmpl w:val="12C69622"/>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26">
    <w:nsid w:val="765151C7"/>
    <w:multiLevelType w:val="multilevel"/>
    <w:tmpl w:val="E1365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EA4748"/>
    <w:multiLevelType w:val="hybridMultilevel"/>
    <w:tmpl w:val="40D450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A15484B"/>
    <w:multiLevelType w:val="hybridMultilevel"/>
    <w:tmpl w:val="ACFA9958"/>
    <w:lvl w:ilvl="0" w:tplc="60D066EA">
      <w:numFmt w:val="bullet"/>
      <w:lvlText w:val="•"/>
      <w:lvlJc w:val="left"/>
      <w:pPr>
        <w:ind w:left="720" w:hanging="360"/>
      </w:pPr>
      <w:rPr>
        <w:rFonts w:ascii="Calibri" w:eastAsiaTheme="minorHAnsi" w:hAnsi="Calibri" w:cs="Calibri" w:hint="default"/>
        <w:color w:val="00928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DD24277"/>
    <w:multiLevelType w:val="hybridMultilevel"/>
    <w:tmpl w:val="198ECB6A"/>
    <w:lvl w:ilvl="0" w:tplc="60A0630C">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num w:numId="1">
    <w:abstractNumId w:val="12"/>
  </w:num>
  <w:num w:numId="2">
    <w:abstractNumId w:val="24"/>
  </w:num>
  <w:num w:numId="3">
    <w:abstractNumId w:val="21"/>
  </w:num>
  <w:num w:numId="4">
    <w:abstractNumId w:val="4"/>
  </w:num>
  <w:num w:numId="5">
    <w:abstractNumId w:val="25"/>
  </w:num>
  <w:num w:numId="6">
    <w:abstractNumId w:val="16"/>
  </w:num>
  <w:num w:numId="7">
    <w:abstractNumId w:val="0"/>
  </w:num>
  <w:num w:numId="8">
    <w:abstractNumId w:val="1"/>
  </w:num>
  <w:num w:numId="9">
    <w:abstractNumId w:val="20"/>
  </w:num>
  <w:num w:numId="10">
    <w:abstractNumId w:val="3"/>
  </w:num>
  <w:num w:numId="11">
    <w:abstractNumId w:val="13"/>
  </w:num>
  <w:num w:numId="12">
    <w:abstractNumId w:val="9"/>
  </w:num>
  <w:num w:numId="13">
    <w:abstractNumId w:val="15"/>
  </w:num>
  <w:num w:numId="14">
    <w:abstractNumId w:val="6"/>
  </w:num>
  <w:num w:numId="15">
    <w:abstractNumId w:val="7"/>
  </w:num>
  <w:num w:numId="16">
    <w:abstractNumId w:val="11"/>
  </w:num>
  <w:num w:numId="17">
    <w:abstractNumId w:val="5"/>
  </w:num>
  <w:num w:numId="18">
    <w:abstractNumId w:val="17"/>
  </w:num>
  <w:num w:numId="19">
    <w:abstractNumId w:val="26"/>
  </w:num>
  <w:num w:numId="20">
    <w:abstractNumId w:val="19"/>
  </w:num>
  <w:num w:numId="21">
    <w:abstractNumId w:val="8"/>
  </w:num>
  <w:num w:numId="22">
    <w:abstractNumId w:val="2"/>
  </w:num>
  <w:num w:numId="23">
    <w:abstractNumId w:val="22"/>
  </w:num>
  <w:num w:numId="24">
    <w:abstractNumId w:val="29"/>
  </w:num>
  <w:num w:numId="25">
    <w:abstractNumId w:val="23"/>
  </w:num>
  <w:num w:numId="26">
    <w:abstractNumId w:val="27"/>
  </w:num>
  <w:num w:numId="27">
    <w:abstractNumId w:val="10"/>
  </w:num>
  <w:num w:numId="28">
    <w:abstractNumId w:val="28"/>
  </w:num>
  <w:num w:numId="29">
    <w:abstractNumId w:val="18"/>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D053D"/>
    <w:rsid w:val="00003F1E"/>
    <w:rsid w:val="000459EF"/>
    <w:rsid w:val="000B25D7"/>
    <w:rsid w:val="00120775"/>
    <w:rsid w:val="00156F80"/>
    <w:rsid w:val="0017309C"/>
    <w:rsid w:val="001E7AB1"/>
    <w:rsid w:val="00263B42"/>
    <w:rsid w:val="002830EA"/>
    <w:rsid w:val="002F16E3"/>
    <w:rsid w:val="00353641"/>
    <w:rsid w:val="00363046"/>
    <w:rsid w:val="003F6604"/>
    <w:rsid w:val="00424ECF"/>
    <w:rsid w:val="0043699B"/>
    <w:rsid w:val="004668F9"/>
    <w:rsid w:val="00477B59"/>
    <w:rsid w:val="004C407C"/>
    <w:rsid w:val="00524617"/>
    <w:rsid w:val="005566F7"/>
    <w:rsid w:val="005823DE"/>
    <w:rsid w:val="005C23B9"/>
    <w:rsid w:val="006550EC"/>
    <w:rsid w:val="006850CD"/>
    <w:rsid w:val="006D4F17"/>
    <w:rsid w:val="00742B54"/>
    <w:rsid w:val="00786346"/>
    <w:rsid w:val="007B5EA0"/>
    <w:rsid w:val="007F763B"/>
    <w:rsid w:val="008533AE"/>
    <w:rsid w:val="00875225"/>
    <w:rsid w:val="008B6A61"/>
    <w:rsid w:val="008D34B0"/>
    <w:rsid w:val="008E2F7E"/>
    <w:rsid w:val="00912C10"/>
    <w:rsid w:val="00930368"/>
    <w:rsid w:val="00970256"/>
    <w:rsid w:val="00992B31"/>
    <w:rsid w:val="009B0A97"/>
    <w:rsid w:val="009B1FB9"/>
    <w:rsid w:val="00A129AC"/>
    <w:rsid w:val="00A5033B"/>
    <w:rsid w:val="00A608BD"/>
    <w:rsid w:val="00A64F3A"/>
    <w:rsid w:val="00A901AF"/>
    <w:rsid w:val="00A92B10"/>
    <w:rsid w:val="00AD7151"/>
    <w:rsid w:val="00B179DC"/>
    <w:rsid w:val="00B76455"/>
    <w:rsid w:val="00BA04A3"/>
    <w:rsid w:val="00BA301A"/>
    <w:rsid w:val="00C07B9F"/>
    <w:rsid w:val="00CD053D"/>
    <w:rsid w:val="00CE6909"/>
    <w:rsid w:val="00D62903"/>
    <w:rsid w:val="00D94211"/>
    <w:rsid w:val="00D96E53"/>
    <w:rsid w:val="00DB0F2D"/>
    <w:rsid w:val="00DE536C"/>
    <w:rsid w:val="00E14045"/>
    <w:rsid w:val="00E433D7"/>
    <w:rsid w:val="00E81DDF"/>
    <w:rsid w:val="00F00B60"/>
    <w:rsid w:val="00F271B0"/>
    <w:rsid w:val="00F956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53D"/>
  </w:style>
  <w:style w:type="paragraph" w:styleId="Nagwek2">
    <w:name w:val="heading 2"/>
    <w:basedOn w:val="Normalny"/>
    <w:next w:val="Normalny"/>
    <w:link w:val="Nagwek2Znak"/>
    <w:uiPriority w:val="9"/>
    <w:unhideWhenUsed/>
    <w:qFormat/>
    <w:rsid w:val="00424E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7F763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053D"/>
    <w:rPr>
      <w:color w:val="0000FF" w:themeColor="hyperlink"/>
      <w:u w:val="single"/>
    </w:rPr>
  </w:style>
  <w:style w:type="paragraph" w:styleId="Akapitzlist">
    <w:name w:val="List Paragraph"/>
    <w:basedOn w:val="Normalny"/>
    <w:uiPriority w:val="34"/>
    <w:qFormat/>
    <w:rsid w:val="00CD053D"/>
    <w:pPr>
      <w:ind w:left="720"/>
      <w:contextualSpacing/>
    </w:pPr>
  </w:style>
  <w:style w:type="paragraph" w:styleId="Tekstdymka">
    <w:name w:val="Balloon Text"/>
    <w:basedOn w:val="Normalny"/>
    <w:link w:val="TekstdymkaZnak"/>
    <w:uiPriority w:val="99"/>
    <w:semiHidden/>
    <w:unhideWhenUsed/>
    <w:rsid w:val="00CD05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53D"/>
    <w:rPr>
      <w:rFonts w:ascii="Tahoma" w:hAnsi="Tahoma" w:cs="Tahoma"/>
      <w:sz w:val="16"/>
      <w:szCs w:val="16"/>
    </w:rPr>
  </w:style>
  <w:style w:type="character" w:customStyle="1" w:styleId="Nagwek3Znak">
    <w:name w:val="Nagłówek 3 Znak"/>
    <w:basedOn w:val="Domylnaczcionkaakapitu"/>
    <w:link w:val="Nagwek3"/>
    <w:uiPriority w:val="9"/>
    <w:rsid w:val="007F763B"/>
    <w:rPr>
      <w:rFonts w:ascii="Times New Roman" w:eastAsia="Times New Roman" w:hAnsi="Times New Roman" w:cs="Times New Roman"/>
      <w:b/>
      <w:bCs/>
      <w:sz w:val="27"/>
      <w:szCs w:val="27"/>
      <w:lang w:eastAsia="pl-PL"/>
    </w:rPr>
  </w:style>
  <w:style w:type="character" w:customStyle="1" w:styleId="mw-headline">
    <w:name w:val="mw-headline"/>
    <w:basedOn w:val="Domylnaczcionkaakapitu"/>
    <w:rsid w:val="007F763B"/>
  </w:style>
  <w:style w:type="character" w:customStyle="1" w:styleId="mw-editsection">
    <w:name w:val="mw-editsection"/>
    <w:basedOn w:val="Domylnaczcionkaakapitu"/>
    <w:rsid w:val="007F763B"/>
  </w:style>
  <w:style w:type="character" w:customStyle="1" w:styleId="mw-editsection-bracket">
    <w:name w:val="mw-editsection-bracket"/>
    <w:basedOn w:val="Domylnaczcionkaakapitu"/>
    <w:rsid w:val="007F763B"/>
  </w:style>
  <w:style w:type="character" w:customStyle="1" w:styleId="mw-editsection-divider">
    <w:name w:val="mw-editsection-divider"/>
    <w:basedOn w:val="Domylnaczcionkaakapitu"/>
    <w:rsid w:val="007F763B"/>
  </w:style>
  <w:style w:type="paragraph" w:styleId="NormalnyWeb">
    <w:name w:val="Normal (Web)"/>
    <w:basedOn w:val="Normalny"/>
    <w:uiPriority w:val="99"/>
    <w:unhideWhenUsed/>
    <w:rsid w:val="007F76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424ECF"/>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1E7A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0615519">
      <w:bodyDiv w:val="1"/>
      <w:marLeft w:val="0"/>
      <w:marRight w:val="0"/>
      <w:marTop w:val="0"/>
      <w:marBottom w:val="0"/>
      <w:divBdr>
        <w:top w:val="none" w:sz="0" w:space="0" w:color="auto"/>
        <w:left w:val="none" w:sz="0" w:space="0" w:color="auto"/>
        <w:bottom w:val="none" w:sz="0" w:space="0" w:color="auto"/>
        <w:right w:val="none" w:sz="0" w:space="0" w:color="auto"/>
      </w:divBdr>
    </w:div>
    <w:div w:id="638346297">
      <w:bodyDiv w:val="1"/>
      <w:marLeft w:val="0"/>
      <w:marRight w:val="0"/>
      <w:marTop w:val="0"/>
      <w:marBottom w:val="0"/>
      <w:divBdr>
        <w:top w:val="none" w:sz="0" w:space="0" w:color="auto"/>
        <w:left w:val="none" w:sz="0" w:space="0" w:color="auto"/>
        <w:bottom w:val="none" w:sz="0" w:space="0" w:color="auto"/>
        <w:right w:val="none" w:sz="0" w:space="0" w:color="auto"/>
      </w:divBdr>
    </w:div>
    <w:div w:id="759645137">
      <w:bodyDiv w:val="1"/>
      <w:marLeft w:val="0"/>
      <w:marRight w:val="0"/>
      <w:marTop w:val="0"/>
      <w:marBottom w:val="0"/>
      <w:divBdr>
        <w:top w:val="none" w:sz="0" w:space="0" w:color="auto"/>
        <w:left w:val="none" w:sz="0" w:space="0" w:color="auto"/>
        <w:bottom w:val="none" w:sz="0" w:space="0" w:color="auto"/>
        <w:right w:val="none" w:sz="0" w:space="0" w:color="auto"/>
      </w:divBdr>
    </w:div>
    <w:div w:id="824319805">
      <w:bodyDiv w:val="1"/>
      <w:marLeft w:val="0"/>
      <w:marRight w:val="0"/>
      <w:marTop w:val="0"/>
      <w:marBottom w:val="0"/>
      <w:divBdr>
        <w:top w:val="none" w:sz="0" w:space="0" w:color="auto"/>
        <w:left w:val="none" w:sz="0" w:space="0" w:color="auto"/>
        <w:bottom w:val="none" w:sz="0" w:space="0" w:color="auto"/>
        <w:right w:val="none" w:sz="0" w:space="0" w:color="auto"/>
      </w:divBdr>
    </w:div>
    <w:div w:id="895430539">
      <w:bodyDiv w:val="1"/>
      <w:marLeft w:val="0"/>
      <w:marRight w:val="0"/>
      <w:marTop w:val="0"/>
      <w:marBottom w:val="0"/>
      <w:divBdr>
        <w:top w:val="none" w:sz="0" w:space="0" w:color="auto"/>
        <w:left w:val="none" w:sz="0" w:space="0" w:color="auto"/>
        <w:bottom w:val="none" w:sz="0" w:space="0" w:color="auto"/>
        <w:right w:val="none" w:sz="0" w:space="0" w:color="auto"/>
      </w:divBdr>
    </w:div>
    <w:div w:id="1096288382">
      <w:bodyDiv w:val="1"/>
      <w:marLeft w:val="0"/>
      <w:marRight w:val="0"/>
      <w:marTop w:val="0"/>
      <w:marBottom w:val="0"/>
      <w:divBdr>
        <w:top w:val="none" w:sz="0" w:space="0" w:color="auto"/>
        <w:left w:val="none" w:sz="0" w:space="0" w:color="auto"/>
        <w:bottom w:val="none" w:sz="0" w:space="0" w:color="auto"/>
        <w:right w:val="none" w:sz="0" w:space="0" w:color="auto"/>
      </w:divBdr>
    </w:div>
    <w:div w:id="1368523853">
      <w:bodyDiv w:val="1"/>
      <w:marLeft w:val="0"/>
      <w:marRight w:val="0"/>
      <w:marTop w:val="0"/>
      <w:marBottom w:val="0"/>
      <w:divBdr>
        <w:top w:val="none" w:sz="0" w:space="0" w:color="auto"/>
        <w:left w:val="none" w:sz="0" w:space="0" w:color="auto"/>
        <w:bottom w:val="none" w:sz="0" w:space="0" w:color="auto"/>
        <w:right w:val="none" w:sz="0" w:space="0" w:color="auto"/>
      </w:divBdr>
    </w:div>
    <w:div w:id="1577322325">
      <w:bodyDiv w:val="1"/>
      <w:marLeft w:val="0"/>
      <w:marRight w:val="0"/>
      <w:marTop w:val="0"/>
      <w:marBottom w:val="0"/>
      <w:divBdr>
        <w:top w:val="none" w:sz="0" w:space="0" w:color="auto"/>
        <w:left w:val="none" w:sz="0" w:space="0" w:color="auto"/>
        <w:bottom w:val="none" w:sz="0" w:space="0" w:color="auto"/>
        <w:right w:val="none" w:sz="0" w:space="0" w:color="auto"/>
      </w:divBdr>
      <w:divsChild>
        <w:div w:id="933435910">
          <w:marLeft w:val="336"/>
          <w:marRight w:val="0"/>
          <w:marTop w:val="120"/>
          <w:marBottom w:val="312"/>
          <w:divBdr>
            <w:top w:val="none" w:sz="0" w:space="0" w:color="auto"/>
            <w:left w:val="none" w:sz="0" w:space="0" w:color="auto"/>
            <w:bottom w:val="none" w:sz="0" w:space="0" w:color="auto"/>
            <w:right w:val="none" w:sz="0" w:space="0" w:color="auto"/>
          </w:divBdr>
          <w:divsChild>
            <w:div w:id="1078868761">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1851528260">
      <w:bodyDiv w:val="1"/>
      <w:marLeft w:val="0"/>
      <w:marRight w:val="0"/>
      <w:marTop w:val="0"/>
      <w:marBottom w:val="0"/>
      <w:divBdr>
        <w:top w:val="none" w:sz="0" w:space="0" w:color="auto"/>
        <w:left w:val="none" w:sz="0" w:space="0" w:color="auto"/>
        <w:bottom w:val="none" w:sz="0" w:space="0" w:color="auto"/>
        <w:right w:val="none" w:sz="0" w:space="0" w:color="auto"/>
      </w:divBdr>
    </w:div>
    <w:div w:id="1924100396">
      <w:bodyDiv w:val="1"/>
      <w:marLeft w:val="0"/>
      <w:marRight w:val="0"/>
      <w:marTop w:val="0"/>
      <w:marBottom w:val="0"/>
      <w:divBdr>
        <w:top w:val="none" w:sz="0" w:space="0" w:color="auto"/>
        <w:left w:val="none" w:sz="0" w:space="0" w:color="auto"/>
        <w:bottom w:val="none" w:sz="0" w:space="0" w:color="auto"/>
        <w:right w:val="none" w:sz="0" w:space="0" w:color="auto"/>
      </w:divBdr>
    </w:div>
    <w:div w:id="1942444271">
      <w:bodyDiv w:val="1"/>
      <w:marLeft w:val="0"/>
      <w:marRight w:val="0"/>
      <w:marTop w:val="0"/>
      <w:marBottom w:val="0"/>
      <w:divBdr>
        <w:top w:val="none" w:sz="0" w:space="0" w:color="auto"/>
        <w:left w:val="none" w:sz="0" w:space="0" w:color="auto"/>
        <w:bottom w:val="none" w:sz="0" w:space="0" w:color="auto"/>
        <w:right w:val="none" w:sz="0" w:space="0" w:color="auto"/>
      </w:divBdr>
    </w:div>
    <w:div w:id="1953198054">
      <w:bodyDiv w:val="1"/>
      <w:marLeft w:val="0"/>
      <w:marRight w:val="0"/>
      <w:marTop w:val="0"/>
      <w:marBottom w:val="0"/>
      <w:divBdr>
        <w:top w:val="none" w:sz="0" w:space="0" w:color="auto"/>
        <w:left w:val="none" w:sz="0" w:space="0" w:color="auto"/>
        <w:bottom w:val="none" w:sz="0" w:space="0" w:color="auto"/>
        <w:right w:val="none" w:sz="0" w:space="0" w:color="auto"/>
      </w:divBdr>
    </w:div>
    <w:div w:id="21062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norsam@inter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408</Words>
  <Characters>2450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49</cp:revision>
  <dcterms:created xsi:type="dcterms:W3CDTF">2020-10-25T17:51:00Z</dcterms:created>
  <dcterms:modified xsi:type="dcterms:W3CDTF">2021-02-07T18:32:00Z</dcterms:modified>
</cp:coreProperties>
</file>